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21</w:t>
      </w:r>
      <w:r w:rsidR="006A5C9A">
        <w:rPr>
          <w:rFonts w:ascii="Arial" w:hAnsi="Arial" w:cs="Arial"/>
          <w:b/>
          <w:sz w:val="22"/>
          <w:szCs w:val="22"/>
        </w:rPr>
        <w:t>9</w:t>
      </w:r>
      <w:r w:rsidR="00EF5509" w:rsidRPr="000A727D">
        <w:rPr>
          <w:rFonts w:ascii="Arial" w:hAnsi="Arial" w:cs="Arial"/>
          <w:b/>
          <w:sz w:val="22"/>
          <w:szCs w:val="22"/>
        </w:rPr>
        <w:t>.-</w:t>
      </w:r>
      <w:r w:rsidR="00EF5509" w:rsidRPr="000A727D">
        <w:rPr>
          <w:rFonts w:ascii="Arial" w:hAnsi="Arial" w:cs="Arial"/>
          <w:b/>
          <w:sz w:val="22"/>
          <w:szCs w:val="22"/>
        </w:rPr>
        <w:tab/>
      </w:r>
      <w:r w:rsidR="006A5C9A" w:rsidRPr="006A5C9A">
        <w:rPr>
          <w:rFonts w:ascii="Arial" w:hAnsi="Arial" w:cs="Arial"/>
          <w:b/>
          <w:sz w:val="22"/>
          <w:szCs w:val="22"/>
        </w:rPr>
        <w:t>SUMINISTRO Y COLOCACIÓN DE LÁMINA DE GEODRÉN BAJO LOSA DE F</w:t>
      </w:r>
      <w:r w:rsidR="006A5C9A">
        <w:rPr>
          <w:rFonts w:ascii="Arial" w:hAnsi="Arial" w:cs="Arial"/>
          <w:b/>
          <w:sz w:val="22"/>
          <w:szCs w:val="22"/>
        </w:rPr>
        <w:t>ONDO CON FORMA DE CONTRA BÓVEDA,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2A3895" w:rsidRPr="002A3895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2A3895" w:rsidRPr="002A3895">
        <w:rPr>
          <w:rFonts w:ascii="Arial" w:hAnsi="Arial" w:cs="Arial"/>
          <w:sz w:val="22"/>
          <w:szCs w:val="22"/>
        </w:rPr>
        <w:t xml:space="preserve">El </w:t>
      </w:r>
      <w:r w:rsidR="006A5C9A">
        <w:rPr>
          <w:rFonts w:ascii="Arial" w:hAnsi="Arial" w:cs="Arial"/>
          <w:sz w:val="22"/>
          <w:szCs w:val="22"/>
        </w:rPr>
        <w:t>s</w:t>
      </w:r>
      <w:r w:rsidR="006A5C9A" w:rsidRPr="006A5C9A">
        <w:rPr>
          <w:rFonts w:ascii="Arial" w:hAnsi="Arial" w:cs="Arial"/>
          <w:sz w:val="22"/>
          <w:szCs w:val="22"/>
        </w:rPr>
        <w:t xml:space="preserve">uministro y colocación de lámina de </w:t>
      </w:r>
      <w:proofErr w:type="spellStart"/>
      <w:r w:rsidR="006A5C9A" w:rsidRPr="006A5C9A">
        <w:rPr>
          <w:rFonts w:ascii="Arial" w:hAnsi="Arial" w:cs="Arial"/>
          <w:sz w:val="22"/>
          <w:szCs w:val="22"/>
        </w:rPr>
        <w:t>geodrén</w:t>
      </w:r>
      <w:proofErr w:type="spellEnd"/>
      <w:r w:rsidR="006A5C9A" w:rsidRPr="006A5C9A">
        <w:rPr>
          <w:rFonts w:ascii="Arial" w:hAnsi="Arial" w:cs="Arial"/>
          <w:sz w:val="22"/>
          <w:szCs w:val="22"/>
        </w:rPr>
        <w:t xml:space="preserve"> bajo losa de fondo con forma de contra bóveda,</w:t>
      </w:r>
      <w:r w:rsidR="006A5C9A">
        <w:rPr>
          <w:rFonts w:ascii="Arial" w:hAnsi="Arial" w:cs="Arial"/>
          <w:sz w:val="22"/>
          <w:szCs w:val="22"/>
        </w:rPr>
        <w:t xml:space="preserve"> será </w:t>
      </w:r>
      <w:r w:rsidR="006A5C9A" w:rsidRPr="006A5C9A">
        <w:rPr>
          <w:rFonts w:ascii="Arial" w:hAnsi="Arial" w:cs="Arial"/>
          <w:sz w:val="22"/>
          <w:szCs w:val="22"/>
        </w:rPr>
        <w:t xml:space="preserve">DRENTEX M PLUS </w:t>
      </w:r>
      <w:proofErr w:type="spellStart"/>
      <w:r w:rsidR="006A5C9A" w:rsidRPr="006A5C9A">
        <w:rPr>
          <w:rFonts w:ascii="Arial" w:hAnsi="Arial" w:cs="Arial"/>
          <w:sz w:val="22"/>
          <w:szCs w:val="22"/>
        </w:rPr>
        <w:t>geocompuesto</w:t>
      </w:r>
      <w:proofErr w:type="spellEnd"/>
      <w:r w:rsidR="006A5C9A" w:rsidRPr="006A5C9A">
        <w:rPr>
          <w:rFonts w:ascii="Arial" w:hAnsi="Arial" w:cs="Arial"/>
          <w:sz w:val="22"/>
          <w:szCs w:val="22"/>
        </w:rPr>
        <w:t xml:space="preserve"> para drenaje formado por un núcleo alveolar de polietileno, un </w:t>
      </w:r>
      <w:proofErr w:type="spellStart"/>
      <w:r w:rsidR="006A5C9A" w:rsidRPr="006A5C9A">
        <w:rPr>
          <w:rFonts w:ascii="Arial" w:hAnsi="Arial" w:cs="Arial"/>
          <w:sz w:val="22"/>
          <w:szCs w:val="22"/>
        </w:rPr>
        <w:t>geotextil</w:t>
      </w:r>
      <w:proofErr w:type="spellEnd"/>
      <w:r w:rsidR="006A5C9A" w:rsidRPr="006A5C9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A5C9A" w:rsidRPr="006A5C9A">
        <w:rPr>
          <w:rFonts w:ascii="Arial" w:hAnsi="Arial" w:cs="Arial"/>
          <w:sz w:val="22"/>
          <w:szCs w:val="22"/>
        </w:rPr>
        <w:t>punzonado</w:t>
      </w:r>
      <w:proofErr w:type="spellEnd"/>
      <w:r w:rsidR="006A5C9A" w:rsidRPr="006A5C9A">
        <w:rPr>
          <w:rFonts w:ascii="Arial" w:hAnsi="Arial" w:cs="Arial"/>
          <w:sz w:val="22"/>
          <w:szCs w:val="22"/>
        </w:rPr>
        <w:t xml:space="preserve"> de filamento continuo de polipropileno y polietileno, marca TEXSA o similar equivalente, en estaciones subterráneas,</w:t>
      </w:r>
      <w:r w:rsidR="006A5C9A">
        <w:rPr>
          <w:rFonts w:ascii="Arial" w:hAnsi="Arial" w:cs="Arial"/>
          <w:sz w:val="22"/>
          <w:szCs w:val="22"/>
        </w:rPr>
        <w:t xml:space="preserve"> </w:t>
      </w:r>
      <w:r w:rsidR="002A3895" w:rsidRPr="002A3895">
        <w:rPr>
          <w:rFonts w:ascii="Arial" w:hAnsi="Arial" w:cs="Arial"/>
          <w:sz w:val="22"/>
          <w:szCs w:val="22"/>
        </w:rPr>
        <w:t>en los diámetros y sep</w:t>
      </w:r>
      <w:r w:rsidR="00F67A4A">
        <w:rPr>
          <w:rFonts w:ascii="Arial" w:hAnsi="Arial" w:cs="Arial"/>
          <w:sz w:val="22"/>
          <w:szCs w:val="22"/>
        </w:rPr>
        <w:t>araciones indicadas en proyecto.</w:t>
      </w:r>
    </w:p>
    <w:p w:rsidR="002A3895" w:rsidRDefault="002A3895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6A5C9A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b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6A5C9A">
        <w:rPr>
          <w:rFonts w:ascii="Arial" w:hAnsi="Arial" w:cs="Arial"/>
          <w:bCs/>
          <w:sz w:val="22"/>
          <w:szCs w:val="22"/>
        </w:rPr>
        <w:t xml:space="preserve">la </w:t>
      </w:r>
      <w:r w:rsidR="006A5C9A" w:rsidRPr="006A5C9A">
        <w:rPr>
          <w:rFonts w:ascii="Arial" w:hAnsi="Arial" w:cs="Arial"/>
          <w:sz w:val="22"/>
          <w:szCs w:val="22"/>
        </w:rPr>
        <w:t xml:space="preserve">colocación de lámina de </w:t>
      </w:r>
      <w:proofErr w:type="spellStart"/>
      <w:r w:rsidR="006A5C9A" w:rsidRPr="006A5C9A">
        <w:rPr>
          <w:rFonts w:ascii="Arial" w:hAnsi="Arial" w:cs="Arial"/>
          <w:sz w:val="22"/>
          <w:szCs w:val="22"/>
        </w:rPr>
        <w:t>geodrén</w:t>
      </w:r>
      <w:proofErr w:type="spellEnd"/>
      <w:r w:rsidR="006A5C9A" w:rsidRPr="006A5C9A">
        <w:rPr>
          <w:rFonts w:ascii="Arial" w:hAnsi="Arial" w:cs="Arial"/>
          <w:sz w:val="22"/>
          <w:szCs w:val="22"/>
        </w:rPr>
        <w:t xml:space="preserve"> bajo losa de fondo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6A5C9A">
        <w:rPr>
          <w:rFonts w:ascii="Arial" w:hAnsi="Arial" w:cs="Arial"/>
          <w:sz w:val="22"/>
          <w:szCs w:val="22"/>
        </w:rPr>
        <w:t xml:space="preserve">metro cuadrado </w:t>
      </w:r>
      <w:r w:rsidRPr="000A727D">
        <w:rPr>
          <w:rFonts w:ascii="Arial" w:hAnsi="Arial" w:cs="Arial"/>
          <w:sz w:val="22"/>
          <w:szCs w:val="22"/>
        </w:rPr>
        <w:t>(</w:t>
      </w:r>
      <w:r w:rsidR="006A5C9A">
        <w:rPr>
          <w:rFonts w:ascii="Arial" w:hAnsi="Arial" w:cs="Arial"/>
          <w:sz w:val="22"/>
          <w:szCs w:val="22"/>
        </w:rPr>
        <w:t>m2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F67A4A">
        <w:rPr>
          <w:rFonts w:ascii="Arial" w:hAnsi="Arial" w:cs="Arial"/>
          <w:sz w:val="22"/>
          <w:szCs w:val="22"/>
        </w:rPr>
        <w:t xml:space="preserve"> </w:t>
      </w:r>
      <w:r w:rsidR="006A5C9A" w:rsidRPr="006A5C9A">
        <w:rPr>
          <w:rFonts w:ascii="Arial" w:hAnsi="Arial" w:cs="Arial"/>
          <w:sz w:val="22"/>
          <w:szCs w:val="22"/>
        </w:rPr>
        <w:t xml:space="preserve">los materiales puestos en el sitio de su colocación, las pruebas de calidad necesarias, la preparación del área de colocación, limpieza, mermas, desperdicios, la maquinaria, herramienta, equipo y mano de obra para su colocación, se entiende por similar equivalente aquellos materiales que cumplen como mínimo con las mismas especificaciones técnicas de calidad, duración y garantía,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17B2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2014-04-07T22:16:00Z</dcterms:created>
  <dcterms:modified xsi:type="dcterms:W3CDTF">2014-04-07T22:19:00Z</dcterms:modified>
</cp:coreProperties>
</file>